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F8" w:rsidRPr="00DE57F8" w:rsidRDefault="00DE57F8" w:rsidP="00DE57F8">
      <w:r w:rsidRPr="00DE57F8">
        <w:rPr>
          <w:rFonts w:ascii="Arial" w:hAnsi="Arial" w:cs="Arial"/>
          <w:sz w:val="19"/>
          <w:szCs w:val="19"/>
          <w:shd w:val="clear" w:color="auto" w:fill="FFFFFF"/>
        </w:rPr>
        <w:t>&lt;данные изъяты&gt;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Дело № 2-56/2019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Категория 2.145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</w:p>
    <w:p w:rsidR="00DE57F8" w:rsidRPr="00DE57F8" w:rsidRDefault="00DE57F8" w:rsidP="00DE57F8">
      <w:pPr>
        <w:spacing w:line="249" w:lineRule="atLeast"/>
        <w:jc w:val="center"/>
        <w:rPr>
          <w:rFonts w:ascii="Arial" w:hAnsi="Arial" w:cs="Arial"/>
          <w:sz w:val="19"/>
          <w:szCs w:val="19"/>
        </w:rPr>
      </w:pPr>
      <w:proofErr w:type="gramStart"/>
      <w:r w:rsidRPr="00DE57F8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Р</w:t>
      </w:r>
      <w:proofErr w:type="gramEnd"/>
      <w:r w:rsidRPr="00DE57F8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 xml:space="preserve"> Е Ш Е Н И Е</w:t>
      </w:r>
    </w:p>
    <w:p w:rsidR="00DE57F8" w:rsidRPr="00DE57F8" w:rsidRDefault="00DE57F8" w:rsidP="00DE5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bookmarkStart w:id="0" w:name="snippet"/>
      <w:proofErr w:type="gramStart"/>
      <w:r w:rsidRPr="00DE57F8">
        <w:rPr>
          <w:rFonts w:ascii="Arial" w:hAnsi="Arial" w:cs="Arial"/>
          <w:sz w:val="19"/>
          <w:szCs w:val="19"/>
          <w:bdr w:val="none" w:sz="0" w:space="0" w:color="auto" w:frame="1"/>
        </w:rPr>
        <w:t>ИМЕНЕМ</w:t>
      </w:r>
      <w:bookmarkEnd w:id="0"/>
      <w:r w:rsidRPr="00DE57F8">
        <w:rPr>
          <w:rFonts w:ascii="Arial" w:hAnsi="Arial" w:cs="Arial"/>
          <w:sz w:val="19"/>
          <w:szCs w:val="19"/>
          <w:shd w:val="clear" w:color="auto" w:fill="FFFFFF"/>
        </w:rPr>
        <w:t> РОССИЙСКОЙ ФЕДЕРАЦИИ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25 апреля 2019 года Ленинский районный суд города Севастополя в составе: председательствующего судьи –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Кукурекина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К.В.,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при секретаре –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Яцук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Е.А.,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с участием истца – Занько О.В., представителя истца –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Бозунова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А.А., ответчика –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Гондаревой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Н.В., представителя ответчика -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Гуть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И.В.,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рассмотрев в открытом судебном заседании в зале суда в г. Севастополе гражданское дело по исковому заявлению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Занько Ольги Владимировны к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Гондаревой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Надежде Владимировне, третьи лица: нотариус города Севастополя Исаева Юлия Владимировна, Публичное акционерное общество «Российский национальный коммерческий банк» 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права собственности,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</w:p>
    <w:p w:rsidR="00DE57F8" w:rsidRPr="00DE57F8" w:rsidRDefault="00DE57F8" w:rsidP="00DE57F8">
      <w:pPr>
        <w:spacing w:line="249" w:lineRule="atLeast"/>
        <w:jc w:val="center"/>
        <w:rPr>
          <w:rFonts w:ascii="Arial" w:hAnsi="Arial" w:cs="Arial"/>
          <w:sz w:val="19"/>
          <w:szCs w:val="19"/>
        </w:rPr>
      </w:pPr>
      <w:r w:rsidRPr="00DE57F8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У С Т А Н О В И Л:</w:t>
      </w:r>
    </w:p>
    <w:p w:rsidR="00DE57F8" w:rsidRPr="00DE57F8" w:rsidRDefault="00DE57F8" w:rsidP="00DE5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29.08.2018 Занько О.В. обратилась в суд с иском, в котором просит: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признать недействительным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(ничтожным)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от 16.12.2003, выполненное от имени её отца ФИО14, удостоверенное от имени нотариуса Первой Севастопольской городской государственной нотариальной конторы ФИО8 под реестровым номером №;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признать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за Занько О.В. право собственности на 1/3 долю (из 2/3 доли наследодателя) квартиры, расположенной по адресу: &lt;адрес&gt; стоимостью 964854,33 руб.;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признать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за Занько О.В. право собственности на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?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суммы денежных средств, находящихся на банковском счете №, открытом наследодателем в Публичном акционерном обществе «Российский национальный коммерческий банк» (ПАО «РНКБ», (операционный офис ОО №), в размере 98231,63 руб.; взыскать с ответчика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Гондаревой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Н.В. в пользу Занько О.В. расходы по уплате государственной пошлины в размере 13515,43 рублей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Исковые требования мотивированы тем, что ДД.ММ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ГГГ умер отец истца – ФИО3 Наследниками первой очереди является истец и её сестра –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Гондарева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Н.В.. Нотариус уведомила, что имеется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 согласно которому ФИО3 все свое имущество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завещал 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Гондаревой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Н.В. Ознакомившись с ксерокопией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ГГГ, выполненного от имени ФИО3, истец пришла к выводу, что подпись ФИО3, поддельная, в связи с чем, обратилась в суд с настоящим исковым заявлением.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Истец и её представитель в судебном заседании исковые требования поддержали в полном объеме, по обстоятельствам, изложенным в иске, просили удовлетворить.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Ответчик и её представитель в судебном заседании возражали против удовлетворения исковых требований в полном объеме.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Третьи лица в судебное заседание не явились, извещались надлежащим образом, причин неявки суду не сообщили.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 учетом положений ст. </w:t>
      </w:r>
      <w:hyperlink r:id="rId4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167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Гражданского процессуального кодекса Российской Федерации (далее – ГПК РФ) и мнения участников процесса, суд считает возможным рассмотреть дело в отсутствие не явившихся лиц.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lastRenderedPageBreak/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Выслушав мнение сторон и их представителей, исследовав материалы гражданского дела, суд находит исковые требования не подлежащими удовлетворению по следующим основаниям.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Судом установлено, что ДД.ММ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ГГГ умер ФИО3, ДД.ММ.ГГГГ г.р., что подтверждается свидетельством о смерти серии № (т.№1 л.д. 9).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Как следует из представленного наследственного дела №, заведенного после смерти ФИО3, истец и ответчик являются дочерями умершего ФИО3 (т.№1 л.д. 76-142).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завещанию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от 16.12.2003, зарегистрированного в реестре за №, ФИО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4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,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завещает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все свое имущество дочери –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Гондаревой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Надежде Владимировне (т.№1 л.д. 84).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Оспаривая указанное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истец ссылается на Заключение №90-17 экспертного исследования от 14.12.2017 (т.№1 л.д. 10-17), согласно которому было проведено исследование электрографической копии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№749694 от 16.12.2003 и эксперт пришел к выводу, что подпись от имени ФИО3, изображение которой находится в графе «ПІДПИС» выполнена, вероятно, не ФИО3, а иным лицом с подражанием подлинной подписи ФИО3.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 период составления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правоотношения регулировались законодательством Украины, в том числе Гражданским кодексом Украины.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статьи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 </w:t>
      </w:r>
      <w:hyperlink r:id="rId5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47. Патентные поверенные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1247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составляется в письменной форме, с указанием места и времени его составление.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быть лично подписано наследодателем. Если лицо не может лично подписать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он подписывается соответственно части четвертой статьи 207 этого Кодекса.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быть удостоверено нотариусом или другими должностными, служебными лицами, определенными в статьях </w:t>
      </w:r>
      <w:hyperlink r:id="rId6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51. Защита личных неимущественных прав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1251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-</w:t>
      </w:r>
      <w:hyperlink r:id="rId7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52. Защита исключительных прав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1252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 соответствии со ст. </w:t>
      </w:r>
      <w:hyperlink r:id="rId8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48. Споры, связанные с защитой интеллектуальных прав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1248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 нотариус заверяет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которое написано наследодателем собственноручно или с помощью общепринятых технических средств. Нотариус может по просьбе лица записать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 ее слов собственноручно или с помощью общепринятых технических средств. В этом случае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быть вслух прочитано наследодателем и подписано им. Если наследодатель из-за физических недостатков не может сам прочитать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удостоверение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происходить при свидетелях (статья </w:t>
      </w:r>
      <w:hyperlink r:id="rId9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53. Ликвидация юридического лица и прекращение деятельности индивидуального предпринимателя в связи с нарушением исключительных прав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1253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Украины).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 форме, порядку составления, по обязательным признакам названное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соответствует требованиям законодательства Украины.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Статьёй 54 Закона Украины «О нотариате» предусмотрено, что нотариусы и иные должностные лица, которые совершают нотариальные действия, проверяют, соответствует ли содержание удостоверенного им соглашения требованиям Закона и действительным намерениям сторон.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ст. </w:t>
      </w:r>
      <w:hyperlink r:id="rId10" w:tgtFrame="_blank" w:tooltip="ГК РФ &gt;  Раздел I. Общие положения &gt; Подраздел 1. Основные положения &gt; Глава 1. Гражданское законодательство &gt; Статья 4. Действие гражданского законодательства во времени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4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11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0. Пределы осуществления гражданских прав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10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, </w:t>
      </w:r>
      <w:hyperlink r:id="rId12" w:tgtFrame="_blank" w:tooltip="ГК РФ &gt;  Раздел I. Общие положения &gt; Подраздел 5. Сроки. Исковая давность &gt; Глава 12. Исковая давность &gt; Статья 203. Перерыв течения срока исковой давности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203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 содержание сделки не может противоречить актам гражданского законодательства, а также моральным основам общества.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В соответствии с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ч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.1 ст.</w:t>
      </w:r>
      <w:hyperlink r:id="rId13" w:tgtFrame="_blank" w:tooltip="ГК РФ &gt;  Раздел II. Право собственности и другие вещные права &gt; Глава 13. Общие положения &gt; Статья 215. Право муниципальной собственности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215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 основанием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сделки является несоблюдение в момент совершения сделки стороной (сторонами) требований, которые установлены частями 1-3,5,6 статьи </w:t>
      </w:r>
      <w:hyperlink r:id="rId14" w:tgtFrame="_blank" w:tooltip="ГК РФ &gt;  Раздел I. Общие положения &gt; Подраздел 5. Сроки. Исковая давность &gt; Глава 12. Исковая давность &gt; Статья 203. Перерыв течения срока исковой давности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203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Украины. Если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недействительность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сделки прямо не установлена законом, но одна из сторон или иное заинтересованное лицо возражает против ее действительности по основаниям, установленным законом, такая сделка может быть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(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оспоримая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сделка).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ст. </w:t>
      </w:r>
      <w:hyperlink r:id="rId15" w:tgtFrame="_blank" w:tooltip="ГК РФ &gt;  Раздел II. Право собственности и другие вещные права &gt; Глава 14. Приобретение права собственности &gt; Статья 229. Возмещение расходов, связанных с находкой, и вознаграждение нашедшему вещь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229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ГК Украины если лицо, совершившее сделку, ошибалась касательно обстоятельств, имеющих существенное значение, такая сделка может быть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Существенной значение имеет ошибка о природе сделки, прав и обязанностей сторон, особенностей вещи, которые снижают её ценности или возможность использования по целевому назначению. Ошибка касательно мотивов сделки не имеет существенного значения, кроме случаев, установленных законом.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Аналогичные нормы содержатся в Гражданском кодексе Российской Федерации.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 силу ст.</w:t>
      </w:r>
      <w:hyperlink r:id="rId16" w:tgtFrame="_blank" w:tooltip="ГК РФ &gt;  Раздел V. Наследственное право &gt; Глава 62. Наследование по &lt;span class=&quot;snippet_equal&quot;&gt; завещанию &lt;/span&gt; &gt; Статья 1118. Общие положения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1118 ГК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распорядиться имуществом на случай смерти можно только путем совершения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быть совершено гражданином, обладающим в момент его совершения дееспособностью в полном объеме.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должно быть совершено лично.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является односторонней сделкой, которая создает права и обязанности после открытия наследства.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lastRenderedPageBreak/>
        <w:t>В соответствии п. 3 ст. </w:t>
      </w:r>
      <w:hyperlink r:id="rId17" w:tgtFrame="_blank" w:tooltip="ГК РФ &gt;  Раздел V. Наследственное право &gt; Глава 62. Наследование по &lt;span class=&quot;snippet_equal&quot;&gt; завещанию &lt;/span&gt; &gt; Статья 1125. Нотариально удостоверенное &lt;span class=&quot;snippet_equal&quot;&gt; завещание &lt;/span&gt;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1125 ГК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, если завещатель в силу физических недостатков, тяжелой болезни или неграмотности не может собственноручно подписать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оно по его просьбе может быть подписано другим гражданином в присутствии нотариуса. В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завещании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должны быть указаны причины, по которым завещатель не мог подписать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собственноручно, а также фамилия, имя, отчество и место жительства гражданина, подписавшего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 просьбе завещателя, в соответствии с документом, удостоверяющим личность этого гражданина.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ст.</w:t>
      </w:r>
      <w:hyperlink r:id="rId18" w:tgtFrame="_blank" w:tooltip="ГК РФ &gt;  Раздел I. Общие положения &gt; Подраздел 4. Сделки. Решения собраний. Представительство &gt; Глава 9. Сделки &gt; § 2. &lt;span class=&quot;snippet_equal&quot;&gt; Недействительность &lt;/span&gt; сделок &gt; Статья 168. &lt;span class=&quot;snippet_equal&quot;&gt; Недействительность &lt;/span&gt; сделки, нарушающей требования закона или иного правового акта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168 ГК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 сделка, не соответствующая требованиям закона или иных правовых актов, ничтожна, если закон не устанавливает, что такая сделка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оспорима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>, или не предусматривает иных последствий нарушения.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Статьей </w:t>
      </w:r>
      <w:hyperlink r:id="rId19" w:tgtFrame="_blank" w:tooltip="ГК РФ &gt;  Раздел I. Общие положения &gt; Подраздел 4. Сделки. Решения собраний. Представительство &gt; Глава 9. Сделки &gt; § 2. &lt;span class=&quot;snippet_equal&quot;&gt; Недействительность &lt;/span&gt; сделок &gt; Статья 178. &lt;span class=&quot;snippet_equal&quot;&gt; Недействительность &lt;/span&gt; сделки, совершенной под влиянием существенного заблуждения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178 ГК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предусмотрено, что сделка, совершенная под влиянием заблуждения, может быть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 При наличии условий, предусмотренных пунктом 1 настоящей статьи, заблуждение предполагается достаточно существенным, в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частности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если: 1) сторона допустила очевидные оговорку, описку, опечатку и т.п.; 2) сторона заблуждается в отношении предмета сделки, в частности таких его качеств, которые в обороте рассматриваются как существенные; 3) сторона заблуждается в отношении природы сделки;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4) сторона заблуждается в отношении лица, с которым она вступает в сделку, или лица, связанного со сделкой; 5) сторона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сделку.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Заблуждение относительно мотивов сделки не является достаточно существенным для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сделки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ч. 4-6 вышеуказанной статьи сделка не может быть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недействительной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сделки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указывает в своем решении эти условия сделки. Суд может отказать в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сделки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недействительной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 Если сделка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признана недействительной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как совершенная под влиянием заблуждения, к ней применяются правила, предусмотренные статьей 167 настоящего Кодекса.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Из ч.2 ст.</w:t>
      </w:r>
      <w:hyperlink r:id="rId20" w:tgtFrame="_blank" w:tooltip="ГК РФ &gt;  Раздел V. Наследственное право &gt; Глава 62. Наследование по &lt;span class=&quot;snippet_equal&quot;&gt; завещанию &lt;/span&gt; &gt; Статья 1131. &lt;span class=&quot;snippet_equal&quot;&gt; Недействительность &lt;/span&gt;&lt;span class=&quot;snippet_equal&quot;&gt; завещания &lt;/span&gt;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1131 ГК РФ</w:t>
        </w:r>
      </w:hyperlink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быть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признано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судом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недействительным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 иску лица, права или законные интересы которого нарушены этим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завещанием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Оспаривание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до открытия наследства не допускается.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п.27 Постановления Пленума Верховного Суда РФ от 29.05.2012 №9 «О судебной практике по делам о наследовании»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может быть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признано недействительным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 решению суда, в частности, в случаях: несоответствия лица, привлеченного в качестве свидетеля, а также лица, подписывающего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 просьбе завещателя (абзац второй пункта 3 статьи </w:t>
      </w:r>
      <w:hyperlink r:id="rId21" w:tgtFrame="_blank" w:tooltip="ГК РФ &gt;  Раздел V. Наследственное право &gt; Глава 62. Наследование по &lt;span class=&quot;snippet_equal&quot;&gt; завещанию &lt;/span&gt; &gt; Статья 1125. Нотариально удостоверенное &lt;span class=&quot;snippet_equal&quot;&gt; завещание &lt;/span&gt;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1125 ГК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), требованиям, установленным пунктом 2 статьи </w:t>
      </w:r>
      <w:hyperlink r:id="rId22" w:tgtFrame="_blank" w:tooltip="ГК РФ &gt;  Раздел V. Наследственное право &gt; Глава 62. Наследование по &lt;span class=&quot;snippet_equal&quot;&gt; завещанию &lt;/span&gt; &gt; Статья 1124. Общие правила, касающиеся формы и порядка совершения &lt;span class=&quot;snippet_equal&quot;&gt; завещания &lt;/span&gt;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1124 ГК РФ</w:t>
        </w:r>
        <w:proofErr w:type="gramEnd"/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; присутствия при составлении, подписании, удостоверении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 при его передаче нотариусу лица, в пользу которого составлено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завещание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или сделан завещательный отказ, супруга такого лица, его детей и родителей (пункт 2 статьи </w:t>
      </w:r>
      <w:hyperlink r:id="rId23" w:tgtFrame="_blank" w:tooltip="ГК РФ &gt;  Раздел V. Наследственное право &gt; Глава 62. Наследование по &lt;span class=&quot;snippet_equal&quot;&gt; завещанию &lt;/span&gt; &gt; Статья 1124. Общие правила, касающиеся формы и порядка совершения &lt;span class=&quot;snippet_equal&quot;&gt; завещания &lt;/span&gt;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1124 ГК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); в иных случаях, если судом установлено наличие нарушений порядка составления, подписания или удостоверения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а также недостатков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 искажающих волеизъявление завещателя.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Из материалов дела следует, что истец приходится дочерью ФИО3, в связи с чем, имеет право на подачу иска 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 соответствии с ч.1 ст. </w:t>
      </w:r>
      <w:hyperlink r:id="rId24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56 ГПК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Согласно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ч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.1-3 ст. </w:t>
      </w:r>
      <w:hyperlink r:id="rId25" w:tgtFrame="_blank" w:tooltip="ГПК РФ &gt;  Раздел I. Общие положения &gt; Глава 6. Доказательства и доказывание &gt; Статья 67. Оценка доказательств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67 ГПК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 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относимость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>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Из материалов дела установлено, что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умерший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ФИО3 по собственной инициативе составил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на ФИО5.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lastRenderedPageBreak/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Доказательств, что умерший ФИО3 совершил какие-либо действия, направленные на отмену либо изменение составленного им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суду не представлено.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 целью полного и всестороннего рассмотрения дела, была назначена судебная почерковедческая экспертиза.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заключению судебной экспертизы (т.№2 л.д. 93-103) на исследование был представлен первый экземпляр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от 16.12.2003 от имени ФИО3 серии №, удостоверенного государственным нотариусом первой Севастопольской государственной нотариальной конторы Т.А. Александровой (зарегистрировано в реестре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под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№).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Согласно указанному заключению, эксперт на вопросы, поставленные судом, пришел к следующим выводам: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Подпись от имени ФИО3 в графе «Подпись» в двух экземплярах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от ДД.ММ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.Г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ГГГ, удостоверенных государственным нотариусом первой Севастопольской государственной нотариальной конторы ФИО8 (зарегистрировано в реестре под №), и в книге реестров нотариальных действий №3 за 2003, выполнены самим ФИО3 под влиянием постоянных «сбивающих» факторов естественного характера, обусловленных возрастными изменениями.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Рукописные записи «ФИО3» от имени ФИО3 в графе «Подпись» в двух экземплярах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от 16.12.2003, удостоверенных государственным нотариусом первой Севастопольской государственной нотариальной конторы ФИО8 (зарегистрировано в реестре под №), выполнены самим ФИО3, под влиянием постоянных естественных «сбивающих» факторов, обусловленных возрастными изменениями.</w:t>
      </w:r>
      <w:proofErr w:type="gramEnd"/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Оснований не принять во внимание вышеуказанное заключение судебной экспертизы у суда не имеется.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При этом, представленное истцом исследование не может являться надлежащим и допустимым доказательством в подтверждение обоснованности исковых требований, поскольку из самого заключения следует, что исследована была копия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оригинал не предоставлялся.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Доводы стороны истца об отсутствии оригинала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опровергаются материалами дела и не могут служить основанием для удовлетворения исковых требований.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Иных надлежащих и допустимых доказательств в подтверждение доводов 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недействительности завещания</w:t>
      </w:r>
      <w:proofErr w:type="gramStart"/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,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истцом, в нарушение положений ст. </w:t>
      </w:r>
      <w:hyperlink r:id="rId26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56 ГПК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, суду не представлено.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Таким образом, анализируя предоставленные суду доказательства в их совокупности, суд пришел к выводу, что оснований для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признания недействительным завещания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ФИО3, составленного 16.12.2003, не имеется, в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связи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с чем исковые требования Занько О.В. удовлетворению не подлежат.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 силу ст. </w:t>
      </w:r>
      <w:hyperlink r:id="rId27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98 ГПК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 в связи с отказом в иске судебные расходы возмещению не подлежат.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На основании </w:t>
      </w:r>
      <w:proofErr w:type="gram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изложенного</w:t>
      </w:r>
      <w:proofErr w:type="gramEnd"/>
      <w:r w:rsidRPr="00DE57F8">
        <w:rPr>
          <w:rFonts w:ascii="Arial" w:hAnsi="Arial" w:cs="Arial"/>
          <w:sz w:val="19"/>
          <w:szCs w:val="19"/>
          <w:shd w:val="clear" w:color="auto" w:fill="FFFFFF"/>
        </w:rPr>
        <w:t>, руководствуясь ст. </w:t>
      </w:r>
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194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-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DE57F8">
          <w:rPr>
            <w:rStyle w:val="a3"/>
            <w:rFonts w:ascii="Arial" w:hAnsi="Arial" w:cs="Arial"/>
            <w:color w:val="auto"/>
            <w:sz w:val="19"/>
            <w:szCs w:val="19"/>
            <w:u w:val="none"/>
            <w:bdr w:val="none" w:sz="0" w:space="0" w:color="auto" w:frame="1"/>
          </w:rPr>
          <w:t>198 ГПК РФ</w:t>
        </w:r>
      </w:hyperlink>
      <w:r w:rsidRPr="00DE57F8">
        <w:rPr>
          <w:rFonts w:ascii="Arial" w:hAnsi="Arial" w:cs="Arial"/>
          <w:sz w:val="19"/>
          <w:szCs w:val="19"/>
          <w:shd w:val="clear" w:color="auto" w:fill="FFFFFF"/>
        </w:rPr>
        <w:t>, суд,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</w:p>
    <w:p w:rsidR="00DE57F8" w:rsidRPr="00DE57F8" w:rsidRDefault="00DE57F8" w:rsidP="00DE57F8">
      <w:pPr>
        <w:spacing w:line="249" w:lineRule="atLeast"/>
        <w:jc w:val="center"/>
        <w:rPr>
          <w:rFonts w:ascii="Arial" w:hAnsi="Arial" w:cs="Arial"/>
          <w:sz w:val="19"/>
          <w:szCs w:val="19"/>
        </w:rPr>
      </w:pPr>
      <w:proofErr w:type="gramStart"/>
      <w:r w:rsidRPr="00DE57F8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Р</w:t>
      </w:r>
      <w:proofErr w:type="gramEnd"/>
      <w:r w:rsidRPr="00DE57F8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 xml:space="preserve"> Е Ш И Л:</w:t>
      </w:r>
    </w:p>
    <w:p w:rsidR="00E42804" w:rsidRPr="00DE57F8" w:rsidRDefault="00DE57F8" w:rsidP="00DE57F8">
      <w:pPr>
        <w:spacing w:line="240" w:lineRule="auto"/>
      </w:pP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Исковое заявление Занько Ольги Владимировны к </w:t>
      </w:r>
      <w:proofErr w:type="spellStart"/>
      <w:r w:rsidRPr="00DE57F8">
        <w:rPr>
          <w:rFonts w:ascii="Arial" w:hAnsi="Arial" w:cs="Arial"/>
          <w:sz w:val="19"/>
          <w:szCs w:val="19"/>
          <w:shd w:val="clear" w:color="auto" w:fill="FFFFFF"/>
        </w:rPr>
        <w:t>Гондаревой</w:t>
      </w:r>
      <w:proofErr w:type="spellEnd"/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 Надежде Владимировне, третьи лица: нотариус города Севастополя Исаева Юлия Владимировна, Публичное акционерное общество «Российский национальный коммерческий банк» о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завещания недействительным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и </w:t>
      </w:r>
      <w:r w:rsidRPr="00DE57F8">
        <w:rPr>
          <w:rStyle w:val="snippetequal"/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признании 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права собственности – оставить без удовлетворения.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Взыскать с Занько Ольги Владимировны в пользу Федерального бюджетного учреждения «Севастопольская лаборатория судебной экспертизы Министерства юстиции Российской Федерации» расходы на проведение судебной экспертизы в размере 17000,00 (семнадцать тысяч) рублей.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 xml:space="preserve">Решение может быть обжаловано сторонами в Севастопольский городской суд в течение месяца со дня </w:t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lastRenderedPageBreak/>
        <w:t>принятия решения суда в окончательной форме, путем подачи апелляционной жалобы в Ленинский районный суд города Севастополя.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  <w:shd w:val="clear" w:color="auto" w:fill="FFFFFF"/>
        </w:rPr>
        <w:t>Решение в окончательной форме изготовлено 30.04.2019</w:t>
      </w:r>
      <w:r w:rsidRPr="00DE57F8">
        <w:rPr>
          <w:rFonts w:ascii="Arial" w:hAnsi="Arial" w:cs="Arial"/>
          <w:sz w:val="19"/>
          <w:szCs w:val="19"/>
        </w:rPr>
        <w:br/>
      </w:r>
      <w:r w:rsidRPr="00DE57F8">
        <w:rPr>
          <w:rFonts w:ascii="Arial" w:hAnsi="Arial" w:cs="Arial"/>
          <w:sz w:val="19"/>
          <w:szCs w:val="19"/>
        </w:rPr>
        <w:br/>
      </w:r>
    </w:p>
    <w:sectPr w:rsidR="00E42804" w:rsidRPr="00DE57F8" w:rsidSect="007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42804"/>
    <w:rsid w:val="002A0C15"/>
    <w:rsid w:val="006B5F33"/>
    <w:rsid w:val="00740CC8"/>
    <w:rsid w:val="00780562"/>
    <w:rsid w:val="00821537"/>
    <w:rsid w:val="009A23E9"/>
    <w:rsid w:val="00A279A3"/>
    <w:rsid w:val="00B55107"/>
    <w:rsid w:val="00DE57F8"/>
    <w:rsid w:val="00E42804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8"/>
  </w:style>
  <w:style w:type="paragraph" w:styleId="3">
    <w:name w:val="heading 3"/>
    <w:basedOn w:val="a"/>
    <w:link w:val="30"/>
    <w:uiPriority w:val="9"/>
    <w:qFormat/>
    <w:rsid w:val="00DE5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E42804"/>
  </w:style>
  <w:style w:type="character" w:styleId="a3">
    <w:name w:val="Hyperlink"/>
    <w:basedOn w:val="a0"/>
    <w:uiPriority w:val="99"/>
    <w:semiHidden/>
    <w:unhideWhenUsed/>
    <w:rsid w:val="00E428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4/razdel-vii/glava-69/statia-1248/" TargetMode="External"/><Relationship Id="rId13" Type="http://schemas.openxmlformats.org/officeDocument/2006/relationships/hyperlink" Target="https://sudact.ru/law/gk-rf-chast1/razdel-ii/glava-13/statia-215/" TargetMode="External"/><Relationship Id="rId18" Type="http://schemas.openxmlformats.org/officeDocument/2006/relationships/hyperlink" Target="https://sudact.ru/law/gk-rf-chast1/razdel-i/podrazdel-4/glava-9/ss-2_2/statia-168/" TargetMode="External"/><Relationship Id="rId26" Type="http://schemas.openxmlformats.org/officeDocument/2006/relationships/hyperlink" Target="https://sudact.ru/law/gpk-rf/razdel-i/glava-6/statia-5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k-rf-chast3/razdel-v/glava-62/statia-1125/" TargetMode="External"/><Relationship Id="rId7" Type="http://schemas.openxmlformats.org/officeDocument/2006/relationships/hyperlink" Target="https://sudact.ru/law/gk-rf-chast4/razdel-vii/glava-69/statia-1252/" TargetMode="External"/><Relationship Id="rId12" Type="http://schemas.openxmlformats.org/officeDocument/2006/relationships/hyperlink" Target="https://sudact.ru/law/gk-rf-chast1/razdel-i/podrazdel-5/glava-12/statia-203/" TargetMode="External"/><Relationship Id="rId17" Type="http://schemas.openxmlformats.org/officeDocument/2006/relationships/hyperlink" Target="https://sudact.ru/law/gk-rf-chast3/razdel-v/glava-62/statia-1125/" TargetMode="External"/><Relationship Id="rId25" Type="http://schemas.openxmlformats.org/officeDocument/2006/relationships/hyperlink" Target="https://sudact.ru/law/gpk-rf/razdel-i/glava-6/statia-6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k-rf-chast3/razdel-v/glava-62/statia-1118/" TargetMode="External"/><Relationship Id="rId20" Type="http://schemas.openxmlformats.org/officeDocument/2006/relationships/hyperlink" Target="https://sudact.ru/law/gk-rf-chast3/razdel-v/glava-62/statia-1131/" TargetMode="External"/><Relationship Id="rId29" Type="http://schemas.openxmlformats.org/officeDocument/2006/relationships/hyperlink" Target="https://sudact.ru/law/gpk-rf/razdel-ii/podrazdel-ii/glava-16/statia-1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4/razdel-vii/glava-69/statia-1251/" TargetMode="External"/><Relationship Id="rId11" Type="http://schemas.openxmlformats.org/officeDocument/2006/relationships/hyperlink" Target="https://sudact.ru/law/gk-rf-chast1/razdel-i/podrazdel-1/glava-2/statia-10/" TargetMode="External"/><Relationship Id="rId24" Type="http://schemas.openxmlformats.org/officeDocument/2006/relationships/hyperlink" Target="https://sudact.ru/law/gpk-rf/razdel-i/glava-6/statia-56/" TargetMode="External"/><Relationship Id="rId5" Type="http://schemas.openxmlformats.org/officeDocument/2006/relationships/hyperlink" Target="https://sudact.ru/law/gk-rf-chast4/razdel-vii/glava-69/statia-1247/" TargetMode="External"/><Relationship Id="rId15" Type="http://schemas.openxmlformats.org/officeDocument/2006/relationships/hyperlink" Target="https://sudact.ru/law/gk-rf-chast1/razdel-ii/glava-14/statia-229/" TargetMode="External"/><Relationship Id="rId23" Type="http://schemas.openxmlformats.org/officeDocument/2006/relationships/hyperlink" Target="https://sudact.ru/law/gk-rf-chast3/razdel-v/glava-62/statia-1124/" TargetMode="External"/><Relationship Id="rId28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gk-rf-chast1/razdel-i/podrazdel-1/glava-1/statia-4/" TargetMode="External"/><Relationship Id="rId19" Type="http://schemas.openxmlformats.org/officeDocument/2006/relationships/hyperlink" Target="https://sudact.ru/law/gk-rf-chast1/razdel-i/podrazdel-4/glava-9/ss-2_2/statia-178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udact.ru/law/gpk-rf/razdel-ii/podrazdel-ii/glava-15/statia-167/" TargetMode="External"/><Relationship Id="rId9" Type="http://schemas.openxmlformats.org/officeDocument/2006/relationships/hyperlink" Target="https://sudact.ru/law/gk-rf-chast4/razdel-vii/glava-69/statia-1253/" TargetMode="External"/><Relationship Id="rId14" Type="http://schemas.openxmlformats.org/officeDocument/2006/relationships/hyperlink" Target="https://sudact.ru/law/gk-rf-chast1/razdel-i/podrazdel-5/glava-12/statia-203/" TargetMode="External"/><Relationship Id="rId22" Type="http://schemas.openxmlformats.org/officeDocument/2006/relationships/hyperlink" Target="https://sudact.ru/law/gk-rf-chast3/razdel-v/glava-62/statia-1124/" TargetMode="External"/><Relationship Id="rId27" Type="http://schemas.openxmlformats.org/officeDocument/2006/relationships/hyperlink" Target="https://sudact.ru/law/gpk-rf/razdel-i/glava-7/statia-9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2019-10-23T15:38:00Z</dcterms:created>
  <dcterms:modified xsi:type="dcterms:W3CDTF">2019-10-23T15:38:00Z</dcterms:modified>
</cp:coreProperties>
</file>